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6F5" w:rsidRPr="004D1219" w:rsidRDefault="0001791A" w:rsidP="004D1219">
      <w:pPr>
        <w:pBdr>
          <w:top w:val="single" w:sz="4" w:space="1" w:color="auto"/>
          <w:left w:val="single" w:sz="4" w:space="4" w:color="auto"/>
          <w:bottom w:val="single" w:sz="4" w:space="1" w:color="auto"/>
          <w:right w:val="single" w:sz="4" w:space="4" w:color="auto"/>
        </w:pBdr>
        <w:jc w:val="center"/>
        <w:rPr>
          <w:b/>
        </w:rPr>
      </w:pPr>
      <w:r w:rsidRPr="004D1219">
        <w:rPr>
          <w:b/>
        </w:rPr>
        <w:t>DISSERTATION</w:t>
      </w:r>
      <w:r w:rsidR="00FC2AA7" w:rsidRPr="004D1219">
        <w:rPr>
          <w:b/>
        </w:rPr>
        <w:t xml:space="preserve"> S’APPUYANT SUR UN DOSSIER DOCUMENTAIRE</w:t>
      </w:r>
    </w:p>
    <w:p w:rsidR="00FC2AA7" w:rsidRPr="00415426" w:rsidRDefault="00FC2AA7" w:rsidP="00FC2AA7">
      <w:pPr>
        <w:spacing w:after="0"/>
        <w:jc w:val="both"/>
        <w:rPr>
          <w:i/>
          <w:sz w:val="20"/>
          <w:szCs w:val="20"/>
        </w:rPr>
      </w:pPr>
      <w:r w:rsidRPr="00415426">
        <w:rPr>
          <w:i/>
          <w:sz w:val="20"/>
          <w:szCs w:val="20"/>
        </w:rPr>
        <w:t>Il est demandé au candidat :</w:t>
      </w:r>
    </w:p>
    <w:p w:rsidR="00FC2AA7" w:rsidRPr="00415426" w:rsidRDefault="00FC2AA7" w:rsidP="00FC2AA7">
      <w:pPr>
        <w:spacing w:after="0"/>
        <w:ind w:firstLine="708"/>
        <w:jc w:val="both"/>
        <w:rPr>
          <w:i/>
          <w:sz w:val="20"/>
          <w:szCs w:val="20"/>
        </w:rPr>
      </w:pPr>
      <w:r w:rsidRPr="00415426">
        <w:rPr>
          <w:i/>
          <w:sz w:val="20"/>
          <w:szCs w:val="20"/>
        </w:rPr>
        <w:t>- de répondre à la question posée par le sujet ;</w:t>
      </w:r>
    </w:p>
    <w:p w:rsidR="00FC2AA7" w:rsidRPr="00415426" w:rsidRDefault="00FC2AA7" w:rsidP="00FC2AA7">
      <w:pPr>
        <w:spacing w:after="0"/>
        <w:ind w:firstLine="708"/>
        <w:jc w:val="both"/>
        <w:rPr>
          <w:i/>
          <w:sz w:val="20"/>
          <w:szCs w:val="20"/>
        </w:rPr>
      </w:pPr>
      <w:r w:rsidRPr="00415426">
        <w:rPr>
          <w:i/>
          <w:sz w:val="20"/>
          <w:szCs w:val="20"/>
        </w:rPr>
        <w:t>- de construire une argumentation à partir d'une problématique qu'il devra élaborer ;</w:t>
      </w:r>
    </w:p>
    <w:p w:rsidR="00FC2AA7" w:rsidRPr="00415426" w:rsidRDefault="00FC2AA7" w:rsidP="00FC2AA7">
      <w:pPr>
        <w:spacing w:after="0"/>
        <w:ind w:left="709" w:hanging="1"/>
        <w:jc w:val="both"/>
        <w:rPr>
          <w:i/>
          <w:sz w:val="20"/>
          <w:szCs w:val="20"/>
        </w:rPr>
      </w:pPr>
      <w:r w:rsidRPr="00415426">
        <w:rPr>
          <w:i/>
          <w:sz w:val="20"/>
          <w:szCs w:val="20"/>
        </w:rPr>
        <w:t>- de mobiliser des connaissances et des informations pertinentes pour traiter le sujet, notamment celles figurant dans le dossier ;</w:t>
      </w:r>
    </w:p>
    <w:p w:rsidR="00FC2AA7" w:rsidRPr="00415426" w:rsidRDefault="00FC2AA7" w:rsidP="00FC2AA7">
      <w:pPr>
        <w:ind w:left="709" w:hanging="1"/>
        <w:jc w:val="both"/>
        <w:rPr>
          <w:i/>
          <w:sz w:val="20"/>
          <w:szCs w:val="20"/>
        </w:rPr>
      </w:pPr>
      <w:r w:rsidRPr="00415426">
        <w:rPr>
          <w:i/>
          <w:sz w:val="20"/>
          <w:szCs w:val="20"/>
        </w:rPr>
        <w:t>- de rédiger en utilisant le vocabulaire économique et social spécifique et approprié à la question, en organisant le développement sous la forme d'un plan cohérent qui ménage l'équilibre des parties.</w:t>
      </w:r>
    </w:p>
    <w:p w:rsidR="00595D63" w:rsidRPr="00415426" w:rsidRDefault="00FC2AA7" w:rsidP="00FC2AA7">
      <w:pPr>
        <w:jc w:val="both"/>
        <w:rPr>
          <w:i/>
          <w:sz w:val="20"/>
          <w:szCs w:val="20"/>
        </w:rPr>
      </w:pPr>
      <w:r w:rsidRPr="00415426">
        <w:rPr>
          <w:i/>
          <w:sz w:val="20"/>
          <w:szCs w:val="20"/>
        </w:rPr>
        <w:t>Il sera tenu compte, dans la notation, de la clarté de l'expression et du soin apporté à la présentation.</w:t>
      </w:r>
    </w:p>
    <w:p w:rsidR="00415426" w:rsidRDefault="00DB36F5" w:rsidP="00DB36F5">
      <w:pPr>
        <w:pStyle w:val="CM9"/>
        <w:spacing w:after="0"/>
        <w:jc w:val="center"/>
        <w:outlineLvl w:val="0"/>
        <w:rPr>
          <w:rFonts w:asciiTheme="minorHAnsi" w:hAnsiTheme="minorHAnsi"/>
          <w:b/>
          <w:bCs/>
          <w:sz w:val="22"/>
          <w:szCs w:val="22"/>
        </w:rPr>
      </w:pPr>
      <w:r w:rsidRPr="004D1219">
        <w:rPr>
          <w:rFonts w:asciiTheme="minorHAnsi" w:hAnsiTheme="minorHAnsi"/>
          <w:b/>
          <w:bCs/>
          <w:sz w:val="22"/>
          <w:szCs w:val="22"/>
        </w:rPr>
        <w:t>SUJET</w:t>
      </w:r>
      <w:r w:rsidR="00415426">
        <w:rPr>
          <w:rFonts w:asciiTheme="minorHAnsi" w:hAnsiTheme="minorHAnsi"/>
          <w:b/>
          <w:bCs/>
          <w:sz w:val="22"/>
          <w:szCs w:val="22"/>
        </w:rPr>
        <w:t xml:space="preserve"> </w:t>
      </w:r>
    </w:p>
    <w:p w:rsidR="00DB36F5" w:rsidRPr="00F6613A" w:rsidRDefault="00F6613A" w:rsidP="00DB36F5">
      <w:pPr>
        <w:pStyle w:val="CM9"/>
        <w:spacing w:after="0"/>
        <w:jc w:val="center"/>
        <w:outlineLvl w:val="0"/>
        <w:rPr>
          <w:rFonts w:asciiTheme="minorHAnsi" w:hAnsiTheme="minorHAnsi"/>
          <w:bCs/>
          <w:i/>
          <w:sz w:val="22"/>
          <w:szCs w:val="22"/>
        </w:rPr>
      </w:pPr>
      <w:r w:rsidRPr="00F6613A">
        <w:rPr>
          <w:rFonts w:asciiTheme="minorHAnsi" w:hAnsiTheme="minorHAnsi"/>
          <w:bCs/>
          <w:i/>
          <w:sz w:val="22"/>
          <w:szCs w:val="22"/>
          <w:highlight w:val="yellow"/>
        </w:rPr>
        <w:t>Asie 2014</w:t>
      </w:r>
    </w:p>
    <w:p w:rsidR="00DB36F5" w:rsidRPr="004D1219" w:rsidRDefault="00DB36F5" w:rsidP="00DB36F5">
      <w:pPr>
        <w:pStyle w:val="Default"/>
        <w:jc w:val="center"/>
        <w:rPr>
          <w:rFonts w:asciiTheme="minorHAnsi" w:hAnsiTheme="minorHAnsi"/>
          <w:color w:val="auto"/>
          <w:sz w:val="22"/>
          <w:szCs w:val="22"/>
        </w:rPr>
      </w:pPr>
    </w:p>
    <w:p w:rsidR="00DB36F5" w:rsidRPr="004D1219" w:rsidRDefault="00DB36F5" w:rsidP="00DB36F5">
      <w:pPr>
        <w:pStyle w:val="Default"/>
        <w:jc w:val="center"/>
        <w:rPr>
          <w:rFonts w:asciiTheme="minorHAnsi" w:hAnsiTheme="minorHAnsi"/>
          <w:color w:val="auto"/>
          <w:sz w:val="22"/>
          <w:szCs w:val="22"/>
        </w:rPr>
      </w:pPr>
      <w:r w:rsidRPr="004D1219">
        <w:rPr>
          <w:rFonts w:asciiTheme="minorHAnsi" w:hAnsiTheme="minorHAnsi"/>
          <w:color w:val="auto"/>
          <w:sz w:val="22"/>
          <w:szCs w:val="22"/>
        </w:rPr>
        <w:t>Ce sujet comporte quatre documents</w:t>
      </w:r>
    </w:p>
    <w:p w:rsidR="00DB36F5" w:rsidRPr="004D1219" w:rsidRDefault="00DB36F5" w:rsidP="00DB36F5">
      <w:pPr>
        <w:pStyle w:val="Default"/>
        <w:jc w:val="center"/>
        <w:rPr>
          <w:rFonts w:asciiTheme="minorHAnsi" w:hAnsiTheme="minorHAnsi"/>
          <w:color w:val="auto"/>
          <w:sz w:val="22"/>
          <w:szCs w:val="22"/>
        </w:rPr>
      </w:pPr>
    </w:p>
    <w:p w:rsidR="00DB36F5" w:rsidRPr="004D1219" w:rsidRDefault="00DB36F5" w:rsidP="00DB36F5">
      <w:pPr>
        <w:pStyle w:val="Default"/>
        <w:jc w:val="center"/>
        <w:rPr>
          <w:rFonts w:asciiTheme="minorHAnsi" w:hAnsiTheme="minorHAnsi"/>
          <w:b/>
          <w:sz w:val="22"/>
          <w:szCs w:val="22"/>
        </w:rPr>
      </w:pPr>
      <w:r w:rsidRPr="004D1219">
        <w:rPr>
          <w:rFonts w:asciiTheme="minorHAnsi" w:hAnsiTheme="minorHAnsi"/>
          <w:b/>
          <w:sz w:val="22"/>
          <w:szCs w:val="22"/>
        </w:rPr>
        <w:t>Les instruments dont disposent les pouvoirs publics sont-ils efficaces pour préserver l'environnement ?</w:t>
      </w:r>
    </w:p>
    <w:p w:rsidR="00DB36F5" w:rsidRPr="004D1219" w:rsidRDefault="00DB36F5" w:rsidP="004D1219">
      <w:pPr>
        <w:pStyle w:val="Default"/>
        <w:rPr>
          <w:rFonts w:asciiTheme="minorHAnsi" w:hAnsiTheme="minorHAnsi"/>
          <w:b/>
          <w:bCs/>
          <w:sz w:val="22"/>
          <w:szCs w:val="22"/>
        </w:rPr>
      </w:pPr>
    </w:p>
    <w:p w:rsidR="00DB36F5" w:rsidRPr="004D1219" w:rsidRDefault="00DB36F5" w:rsidP="00DB36F5">
      <w:pPr>
        <w:pStyle w:val="Default"/>
        <w:rPr>
          <w:rFonts w:asciiTheme="minorHAnsi" w:hAnsiTheme="minorHAnsi"/>
          <w:sz w:val="22"/>
          <w:szCs w:val="22"/>
        </w:rPr>
      </w:pPr>
      <w:r w:rsidRPr="004D1219">
        <w:rPr>
          <w:rFonts w:asciiTheme="minorHAnsi" w:hAnsiTheme="minorHAnsi"/>
          <w:b/>
          <w:bCs/>
          <w:sz w:val="22"/>
          <w:szCs w:val="22"/>
        </w:rPr>
        <w:t xml:space="preserve">DOCUMENT </w:t>
      </w:r>
      <w:r w:rsidR="004D1219">
        <w:rPr>
          <w:rFonts w:asciiTheme="minorHAnsi" w:hAnsiTheme="minorHAnsi"/>
          <w:b/>
          <w:bCs/>
          <w:sz w:val="22"/>
          <w:szCs w:val="22"/>
        </w:rPr>
        <w:t>1</w:t>
      </w:r>
    </w:p>
    <w:p w:rsidR="00DB36F5" w:rsidRPr="004D1219" w:rsidRDefault="00DB36F5" w:rsidP="00DB36F5">
      <w:pPr>
        <w:pStyle w:val="Default"/>
        <w:rPr>
          <w:rFonts w:asciiTheme="minorHAnsi" w:hAnsiTheme="minorHAnsi"/>
          <w:spacing w:val="1"/>
          <w:w w:val="117"/>
          <w:sz w:val="22"/>
          <w:szCs w:val="22"/>
        </w:rPr>
      </w:pPr>
    </w:p>
    <w:p w:rsidR="00DB36F5" w:rsidRPr="004D1219" w:rsidRDefault="00DB36F5" w:rsidP="00DB36F5">
      <w:pPr>
        <w:pStyle w:val="Default"/>
        <w:jc w:val="center"/>
        <w:rPr>
          <w:rFonts w:asciiTheme="minorHAnsi" w:hAnsiTheme="minorHAnsi"/>
          <w:b/>
          <w:sz w:val="22"/>
          <w:szCs w:val="22"/>
        </w:rPr>
      </w:pPr>
      <w:r w:rsidRPr="004D1219">
        <w:rPr>
          <w:rFonts w:asciiTheme="minorHAnsi" w:hAnsiTheme="minorHAnsi"/>
          <w:b/>
          <w:sz w:val="22"/>
          <w:szCs w:val="22"/>
        </w:rPr>
        <w:t>Émission spécifique de CO</w:t>
      </w:r>
      <w:r w:rsidRPr="004D1219">
        <w:rPr>
          <w:rFonts w:asciiTheme="minorHAnsi" w:hAnsiTheme="minorHAnsi"/>
          <w:b/>
          <w:sz w:val="22"/>
          <w:szCs w:val="22"/>
          <w:vertAlign w:val="subscript"/>
        </w:rPr>
        <w:t>2</w:t>
      </w:r>
      <w:r w:rsidRPr="004D1219">
        <w:rPr>
          <w:rFonts w:asciiTheme="minorHAnsi" w:hAnsiTheme="minorHAnsi"/>
          <w:b/>
          <w:sz w:val="22"/>
          <w:szCs w:val="22"/>
        </w:rPr>
        <w:t xml:space="preserve"> des voitures vendues</w:t>
      </w:r>
    </w:p>
    <w:p w:rsidR="00DB36F5" w:rsidRPr="004D1219" w:rsidRDefault="00DB36F5" w:rsidP="004D1219">
      <w:pPr>
        <w:pStyle w:val="Default"/>
        <w:jc w:val="center"/>
        <w:rPr>
          <w:rFonts w:asciiTheme="minorHAnsi" w:hAnsiTheme="minorHAnsi"/>
          <w:spacing w:val="1"/>
          <w:w w:val="117"/>
          <w:sz w:val="22"/>
          <w:szCs w:val="22"/>
        </w:rPr>
      </w:pPr>
      <w:r w:rsidRPr="004D1219">
        <w:rPr>
          <w:rFonts w:asciiTheme="minorHAnsi" w:hAnsiTheme="minorHAnsi"/>
          <w:noProof/>
          <w:spacing w:val="1"/>
          <w:w w:val="117"/>
          <w:sz w:val="22"/>
          <w:szCs w:val="22"/>
        </w:rPr>
        <w:drawing>
          <wp:inline distT="0" distB="0" distL="0" distR="0">
            <wp:extent cx="5691505" cy="2816225"/>
            <wp:effectExtent l="19050" t="0" r="444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a:stretch>
                      <a:fillRect/>
                    </a:stretch>
                  </pic:blipFill>
                  <pic:spPr bwMode="auto">
                    <a:xfrm>
                      <a:off x="0" y="0"/>
                      <a:ext cx="5691505" cy="2816225"/>
                    </a:xfrm>
                    <a:prstGeom prst="rect">
                      <a:avLst/>
                    </a:prstGeom>
                    <a:noFill/>
                    <a:ln w="9525">
                      <a:noFill/>
                      <a:miter lim="800000"/>
                      <a:headEnd/>
                      <a:tailEnd/>
                    </a:ln>
                  </pic:spPr>
                </pic:pic>
              </a:graphicData>
            </a:graphic>
          </wp:inline>
        </w:drawing>
      </w:r>
    </w:p>
    <w:p w:rsidR="00DB36F5" w:rsidRPr="004D1219" w:rsidRDefault="00DB36F5" w:rsidP="00DB36F5">
      <w:pPr>
        <w:pStyle w:val="Default"/>
        <w:jc w:val="right"/>
        <w:rPr>
          <w:rFonts w:asciiTheme="minorHAnsi" w:hAnsiTheme="minorHAnsi"/>
          <w:sz w:val="22"/>
          <w:szCs w:val="22"/>
        </w:rPr>
      </w:pPr>
      <w:r w:rsidRPr="004D1219">
        <w:rPr>
          <w:rFonts w:asciiTheme="minorHAnsi" w:hAnsiTheme="minorHAnsi"/>
          <w:sz w:val="22"/>
          <w:szCs w:val="22"/>
        </w:rPr>
        <w:t>Source : Agence de l'Environnement et de la Maîtrise de l'Énergie, 2012.</w:t>
      </w:r>
    </w:p>
    <w:p w:rsidR="00DB36F5" w:rsidRPr="004D1219" w:rsidRDefault="00DB36F5" w:rsidP="00DB36F5">
      <w:pPr>
        <w:pStyle w:val="Default"/>
        <w:rPr>
          <w:rFonts w:asciiTheme="minorHAnsi" w:hAnsiTheme="minorHAnsi"/>
          <w:sz w:val="22"/>
          <w:szCs w:val="22"/>
        </w:rPr>
      </w:pPr>
    </w:p>
    <w:p w:rsidR="00DB36F5" w:rsidRPr="004D1219" w:rsidRDefault="00DB36F5" w:rsidP="00DB36F5">
      <w:pPr>
        <w:pStyle w:val="Default"/>
        <w:jc w:val="both"/>
        <w:rPr>
          <w:rFonts w:asciiTheme="minorHAnsi" w:hAnsiTheme="minorHAnsi"/>
          <w:sz w:val="22"/>
          <w:szCs w:val="22"/>
        </w:rPr>
      </w:pPr>
      <w:r w:rsidRPr="004D1219">
        <w:rPr>
          <w:rFonts w:asciiTheme="minorHAnsi" w:hAnsiTheme="minorHAnsi"/>
          <w:sz w:val="22"/>
          <w:szCs w:val="22"/>
        </w:rPr>
        <w:t>(1) Grenelle : Lancé en juillet 2007, le « Grenelle Environnement » a réuni les représentants de l'État et de la société civile pour prendre des mesures à long terme en faveur de l'environnement et du développement durable.</w:t>
      </w:r>
    </w:p>
    <w:p w:rsidR="004D1219" w:rsidRDefault="004D1219" w:rsidP="004D1219">
      <w:pPr>
        <w:pStyle w:val="Default"/>
        <w:rPr>
          <w:rFonts w:asciiTheme="minorHAnsi" w:hAnsiTheme="minorHAnsi"/>
          <w:b/>
          <w:bCs/>
          <w:sz w:val="22"/>
          <w:szCs w:val="22"/>
        </w:rPr>
      </w:pPr>
    </w:p>
    <w:p w:rsidR="004D1219" w:rsidRPr="004D1219" w:rsidRDefault="004D1219" w:rsidP="004D1219">
      <w:pPr>
        <w:pStyle w:val="Default"/>
        <w:rPr>
          <w:rFonts w:asciiTheme="minorHAnsi" w:hAnsiTheme="minorHAnsi"/>
          <w:b/>
          <w:bCs/>
          <w:sz w:val="22"/>
          <w:szCs w:val="22"/>
        </w:rPr>
      </w:pPr>
      <w:r>
        <w:rPr>
          <w:rFonts w:asciiTheme="minorHAnsi" w:hAnsiTheme="minorHAnsi"/>
          <w:b/>
          <w:bCs/>
          <w:sz w:val="22"/>
          <w:szCs w:val="22"/>
        </w:rPr>
        <w:t>DOCUMENT 2</w:t>
      </w:r>
    </w:p>
    <w:p w:rsidR="004D1219" w:rsidRPr="004D1219" w:rsidRDefault="004D1219" w:rsidP="004D1219">
      <w:pPr>
        <w:pStyle w:val="Default"/>
        <w:rPr>
          <w:rFonts w:asciiTheme="minorHAnsi" w:hAnsiTheme="minorHAnsi"/>
          <w:bCs/>
          <w:sz w:val="22"/>
          <w:szCs w:val="22"/>
        </w:rPr>
      </w:pPr>
    </w:p>
    <w:p w:rsidR="004D1219" w:rsidRPr="004D1219" w:rsidRDefault="004D1219" w:rsidP="004D1219">
      <w:pPr>
        <w:pStyle w:val="Default"/>
        <w:jc w:val="center"/>
        <w:rPr>
          <w:rFonts w:asciiTheme="minorHAnsi" w:hAnsiTheme="minorHAnsi"/>
          <w:b/>
          <w:sz w:val="22"/>
          <w:szCs w:val="22"/>
        </w:rPr>
      </w:pPr>
      <w:r w:rsidRPr="004D1219">
        <w:rPr>
          <w:rFonts w:asciiTheme="minorHAnsi" w:hAnsiTheme="minorHAnsi"/>
          <w:b/>
          <w:sz w:val="22"/>
          <w:szCs w:val="22"/>
        </w:rPr>
        <w:t>Volumes de transactions de quotas européens depuis le lancement du système d'échange de quotas</w:t>
      </w:r>
    </w:p>
    <w:p w:rsidR="004D1219" w:rsidRPr="004D1219" w:rsidRDefault="004D1219" w:rsidP="004D1219">
      <w:pPr>
        <w:pStyle w:val="Default"/>
        <w:rPr>
          <w:rFonts w:asciiTheme="minorHAnsi" w:hAnsiTheme="minorHAnsi"/>
          <w:bCs/>
          <w:sz w:val="22"/>
          <w:szCs w:val="22"/>
        </w:rPr>
      </w:pPr>
    </w:p>
    <w:tbl>
      <w:tblPr>
        <w:tblW w:w="0" w:type="auto"/>
        <w:jc w:val="center"/>
        <w:tblInd w:w="40" w:type="dxa"/>
        <w:tblLayout w:type="fixed"/>
        <w:tblCellMar>
          <w:left w:w="40" w:type="dxa"/>
          <w:right w:w="40" w:type="dxa"/>
        </w:tblCellMar>
        <w:tblLook w:val="0000"/>
      </w:tblPr>
      <w:tblGrid>
        <w:gridCol w:w="993"/>
        <w:gridCol w:w="2693"/>
        <w:gridCol w:w="2693"/>
        <w:gridCol w:w="2693"/>
      </w:tblGrid>
      <w:tr w:rsidR="004D1219" w:rsidRPr="004D1219" w:rsidTr="00E61BAF">
        <w:trPr>
          <w:trHeight w:hRule="exact" w:val="605"/>
          <w:jc w:val="center"/>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b/>
                <w:sz w:val="22"/>
                <w:szCs w:val="22"/>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Volumes échangés</w:t>
            </w:r>
            <w:r w:rsidRPr="004D1219">
              <w:rPr>
                <w:rFonts w:asciiTheme="minorHAnsi" w:hAnsiTheme="minorHAnsi"/>
                <w:b/>
                <w:sz w:val="22"/>
                <w:szCs w:val="22"/>
              </w:rPr>
              <w:br/>
              <w:t xml:space="preserve"> (en millions de quotas)</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Valeurs des transactions (en millions d'euros)</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Prix moyen du quota</w:t>
            </w:r>
            <w:r w:rsidRPr="004D1219">
              <w:rPr>
                <w:rFonts w:asciiTheme="minorHAnsi" w:hAnsiTheme="minorHAnsi"/>
                <w:b/>
                <w:sz w:val="22"/>
                <w:szCs w:val="22"/>
              </w:rPr>
              <w:br/>
              <w:t xml:space="preserve"> (en €)</w:t>
            </w:r>
          </w:p>
        </w:tc>
      </w:tr>
      <w:tr w:rsidR="004D1219" w:rsidRPr="004D1219" w:rsidTr="00E61BAF">
        <w:trPr>
          <w:trHeight w:hRule="exact" w:val="284"/>
          <w:jc w:val="center"/>
        </w:trPr>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2005</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262</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5 400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20,6</w:t>
            </w:r>
          </w:p>
        </w:tc>
      </w:tr>
      <w:tr w:rsidR="004D1219" w:rsidRPr="004D1219" w:rsidTr="00E61BAF">
        <w:trPr>
          <w:trHeight w:hRule="exact" w:val="284"/>
          <w:jc w:val="center"/>
        </w:trPr>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2006</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828</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14 500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17,5</w:t>
            </w:r>
          </w:p>
        </w:tc>
      </w:tr>
      <w:tr w:rsidR="004D1219" w:rsidRPr="004D1219" w:rsidTr="00E61BAF">
        <w:trPr>
          <w:trHeight w:hRule="exact" w:val="284"/>
          <w:jc w:val="center"/>
        </w:trPr>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2007</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1 458</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25 200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17,3</w:t>
            </w:r>
          </w:p>
        </w:tc>
      </w:tr>
      <w:tr w:rsidR="004D1219" w:rsidRPr="004D1219" w:rsidTr="00E61BAF">
        <w:trPr>
          <w:trHeight w:hRule="exact" w:val="284"/>
          <w:jc w:val="center"/>
        </w:trPr>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2008</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2 731</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61 200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22,4</w:t>
            </w:r>
          </w:p>
        </w:tc>
      </w:tr>
      <w:tr w:rsidR="004D1219" w:rsidRPr="004D1219" w:rsidTr="00E61BAF">
        <w:trPr>
          <w:trHeight w:hRule="exact" w:val="284"/>
          <w:jc w:val="center"/>
        </w:trPr>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2009</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5 016</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65 900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13,1</w:t>
            </w:r>
          </w:p>
        </w:tc>
      </w:tr>
    </w:tbl>
    <w:p w:rsidR="004D1219" w:rsidRPr="004D1219" w:rsidRDefault="004D1219" w:rsidP="004D1219">
      <w:pPr>
        <w:pStyle w:val="Default"/>
        <w:jc w:val="right"/>
        <w:rPr>
          <w:rFonts w:asciiTheme="minorHAnsi" w:hAnsiTheme="minorHAnsi"/>
          <w:sz w:val="22"/>
          <w:szCs w:val="22"/>
        </w:rPr>
      </w:pPr>
      <w:r w:rsidRPr="004D1219">
        <w:rPr>
          <w:rFonts w:asciiTheme="minorHAnsi" w:hAnsiTheme="minorHAnsi"/>
          <w:sz w:val="22"/>
          <w:szCs w:val="22"/>
        </w:rPr>
        <w:t>Source : Mission Climat de la Caisse des Dépôts, 2010</w:t>
      </w:r>
    </w:p>
    <w:p w:rsidR="004D1219" w:rsidRPr="004D1219" w:rsidRDefault="004D1219" w:rsidP="004D1219">
      <w:pPr>
        <w:pStyle w:val="Default"/>
        <w:rPr>
          <w:rFonts w:asciiTheme="minorHAnsi" w:hAnsiTheme="minorHAnsi"/>
          <w:bCs/>
          <w:sz w:val="22"/>
          <w:szCs w:val="22"/>
        </w:rPr>
      </w:pPr>
    </w:p>
    <w:p w:rsidR="00DB36F5" w:rsidRPr="004D1219" w:rsidRDefault="004D1219" w:rsidP="00DB36F5">
      <w:pPr>
        <w:pStyle w:val="Default"/>
        <w:rPr>
          <w:rFonts w:asciiTheme="minorHAnsi" w:hAnsiTheme="minorHAnsi"/>
          <w:b/>
          <w:bCs/>
          <w:sz w:val="22"/>
          <w:szCs w:val="22"/>
        </w:rPr>
      </w:pPr>
      <w:r>
        <w:rPr>
          <w:rFonts w:asciiTheme="minorHAnsi" w:hAnsiTheme="minorHAnsi"/>
          <w:b/>
          <w:bCs/>
          <w:sz w:val="22"/>
          <w:szCs w:val="22"/>
        </w:rPr>
        <w:t>DOCUMENT 3</w:t>
      </w:r>
    </w:p>
    <w:p w:rsidR="00DB36F5" w:rsidRPr="004D1219" w:rsidRDefault="00DB36F5" w:rsidP="00DB36F5">
      <w:pPr>
        <w:pStyle w:val="Default"/>
        <w:jc w:val="both"/>
        <w:rPr>
          <w:rFonts w:asciiTheme="minorHAnsi" w:hAnsiTheme="minorHAnsi"/>
          <w:sz w:val="22"/>
          <w:szCs w:val="22"/>
        </w:rPr>
      </w:pPr>
    </w:p>
    <w:p w:rsidR="00DB36F5" w:rsidRPr="004D1219" w:rsidRDefault="00DB36F5" w:rsidP="00DB36F5">
      <w:pPr>
        <w:pStyle w:val="Default"/>
        <w:jc w:val="both"/>
        <w:rPr>
          <w:rFonts w:asciiTheme="minorHAnsi" w:hAnsiTheme="minorHAnsi"/>
          <w:sz w:val="22"/>
          <w:szCs w:val="22"/>
        </w:rPr>
      </w:pPr>
      <w:r w:rsidRPr="004D1219">
        <w:rPr>
          <w:rFonts w:asciiTheme="minorHAnsi" w:hAnsiTheme="minorHAnsi"/>
          <w:sz w:val="22"/>
          <w:szCs w:val="22"/>
        </w:rPr>
        <w:t>Depuis 2008, la taxe carbone et la taxe sur l'énergie sont relevées automatiquement chaque année selon l'indice des prix à la consommation. [...]</w:t>
      </w:r>
    </w:p>
    <w:p w:rsidR="00DB36F5" w:rsidRPr="004D1219" w:rsidRDefault="00DB36F5" w:rsidP="00DB36F5">
      <w:pPr>
        <w:pStyle w:val="Default"/>
        <w:jc w:val="both"/>
        <w:rPr>
          <w:rFonts w:asciiTheme="minorHAnsi" w:hAnsiTheme="minorHAnsi"/>
          <w:sz w:val="22"/>
          <w:szCs w:val="22"/>
        </w:rPr>
      </w:pPr>
      <w:r w:rsidRPr="004D1219">
        <w:rPr>
          <w:rFonts w:asciiTheme="minorHAnsi" w:hAnsiTheme="minorHAnsi"/>
          <w:sz w:val="22"/>
          <w:szCs w:val="22"/>
        </w:rPr>
        <w:t>Globalement on note une réduction des émissions des gaz à effet de serre depuis 1990, et ceci alors qu'il y a eu une augmentation de la production industrielle et du PIB. Selon les prévisions actuelles la Suède doit pouvoir atteindre son objectif national d'une réduction de 4% des gaz à effet de serre par rapport à 1990 pour la période d'engagement 2008-2012. Il existe plusieurs évaluations de l'effet environnemental de la taxe carbone. Selon le Ministère de l'environnement [...] la taxe aurait amené une réduction des émissions de dioxyde de carbone de 15 % en 1995 par rapport à un scénario sans taxe, et selon les estimations réalisées à ce moment-là, il était prévu qu'elle allait apporter une réduction des émissions de 20,25 % en 2000. L'Agence de l'Énergie [...] a évalué les réductions des émissions dans le secteur de l'énergie à 2,5 milliards de tonnes CO</w:t>
      </w:r>
      <w:r w:rsidRPr="004D1219">
        <w:rPr>
          <w:rFonts w:asciiTheme="minorHAnsi" w:hAnsiTheme="minorHAnsi"/>
          <w:sz w:val="22"/>
          <w:szCs w:val="22"/>
          <w:vertAlign w:val="subscript"/>
        </w:rPr>
        <w:t>2</w:t>
      </w:r>
      <w:r w:rsidRPr="004D1219">
        <w:rPr>
          <w:rFonts w:asciiTheme="minorHAnsi" w:hAnsiTheme="minorHAnsi"/>
          <w:sz w:val="22"/>
          <w:szCs w:val="22"/>
        </w:rPr>
        <w:t xml:space="preserve"> en 2005 par rapport à un scénario de référence de fiscalité constante aux niveaux de 1990. Tous les observateurs s'accordent sur le fait que la taxe carbone et les taxes énergétiques ont surtout eu pour effet une utilisation accrue de la biomasse</w:t>
      </w:r>
      <w:r w:rsidRPr="004D1219">
        <w:rPr>
          <w:rFonts w:asciiTheme="minorHAnsi" w:hAnsiTheme="minorHAnsi"/>
          <w:sz w:val="22"/>
          <w:szCs w:val="22"/>
          <w:vertAlign w:val="superscript"/>
        </w:rPr>
        <w:t>(1)</w:t>
      </w:r>
      <w:r w:rsidRPr="004D1219">
        <w:rPr>
          <w:rFonts w:asciiTheme="minorHAnsi" w:hAnsiTheme="minorHAnsi"/>
          <w:sz w:val="22"/>
          <w:szCs w:val="22"/>
        </w:rPr>
        <w:t xml:space="preserve"> dans les réseaux de chauffage urbain [...]. Il est en effet intéressant de noter que les émissions de dioxyde de carbone du secteur chauffage seul ont été divisées par deux en 2007 par rapport au niveau des émissions en 1990.</w:t>
      </w:r>
    </w:p>
    <w:p w:rsidR="00DB36F5" w:rsidRPr="004D1219" w:rsidRDefault="00DB36F5" w:rsidP="00DB36F5">
      <w:pPr>
        <w:pStyle w:val="Default"/>
        <w:jc w:val="both"/>
        <w:rPr>
          <w:rFonts w:asciiTheme="minorHAnsi" w:hAnsiTheme="minorHAnsi"/>
          <w:sz w:val="22"/>
          <w:szCs w:val="22"/>
        </w:rPr>
      </w:pPr>
    </w:p>
    <w:p w:rsidR="00DB36F5" w:rsidRPr="004D1219" w:rsidRDefault="00DB36F5" w:rsidP="00DB36F5">
      <w:pPr>
        <w:pStyle w:val="Default"/>
        <w:jc w:val="right"/>
        <w:rPr>
          <w:rFonts w:asciiTheme="minorHAnsi" w:hAnsiTheme="minorHAnsi"/>
          <w:sz w:val="22"/>
          <w:szCs w:val="22"/>
        </w:rPr>
      </w:pPr>
      <w:r w:rsidRPr="004D1219">
        <w:rPr>
          <w:rFonts w:asciiTheme="minorHAnsi" w:hAnsiTheme="minorHAnsi"/>
          <w:sz w:val="22"/>
          <w:szCs w:val="22"/>
        </w:rPr>
        <w:t>Source : « L a taxation énergie-climat en Suède », Katrin MILLOCK, Droit de l'Environnement, Janvier 2010.</w:t>
      </w:r>
    </w:p>
    <w:p w:rsidR="00DB36F5" w:rsidRPr="004D1219" w:rsidRDefault="00DB36F5" w:rsidP="00DB36F5">
      <w:pPr>
        <w:pStyle w:val="Default"/>
        <w:jc w:val="both"/>
        <w:rPr>
          <w:rFonts w:asciiTheme="minorHAnsi" w:hAnsiTheme="minorHAnsi"/>
          <w:sz w:val="22"/>
          <w:szCs w:val="22"/>
        </w:rPr>
      </w:pPr>
    </w:p>
    <w:p w:rsidR="00DB36F5" w:rsidRPr="004D1219" w:rsidRDefault="00DB36F5" w:rsidP="00DB36F5">
      <w:pPr>
        <w:pStyle w:val="Default"/>
        <w:jc w:val="both"/>
        <w:rPr>
          <w:rFonts w:asciiTheme="minorHAnsi" w:hAnsiTheme="minorHAnsi"/>
          <w:sz w:val="22"/>
          <w:szCs w:val="22"/>
        </w:rPr>
      </w:pPr>
      <w:r w:rsidRPr="004D1219">
        <w:rPr>
          <w:rFonts w:asciiTheme="minorHAnsi" w:hAnsiTheme="minorHAnsi"/>
          <w:sz w:val="22"/>
          <w:szCs w:val="22"/>
        </w:rPr>
        <w:t>(1)La biomasse : La biomasse est l'ensemble de la matière organique d'origine végétale ou animale, par exemple: les biocarburants pour le transport.</w:t>
      </w:r>
    </w:p>
    <w:p w:rsidR="00DB36F5" w:rsidRPr="004D1219" w:rsidRDefault="00DB36F5" w:rsidP="00DB36F5">
      <w:pPr>
        <w:pStyle w:val="Default"/>
        <w:jc w:val="center"/>
        <w:rPr>
          <w:rFonts w:asciiTheme="minorHAnsi" w:hAnsiTheme="minorHAnsi"/>
          <w:bCs/>
          <w:sz w:val="22"/>
          <w:szCs w:val="22"/>
        </w:rPr>
      </w:pPr>
    </w:p>
    <w:p w:rsidR="004D1219" w:rsidRDefault="004D1219" w:rsidP="004D1219">
      <w:pPr>
        <w:pStyle w:val="Default"/>
        <w:rPr>
          <w:rFonts w:asciiTheme="minorHAnsi" w:hAnsiTheme="minorHAnsi"/>
          <w:b/>
          <w:bCs/>
          <w:sz w:val="22"/>
          <w:szCs w:val="22"/>
        </w:rPr>
      </w:pPr>
    </w:p>
    <w:p w:rsidR="004D1219" w:rsidRDefault="004D1219" w:rsidP="004D1219">
      <w:pPr>
        <w:pStyle w:val="Default"/>
        <w:rPr>
          <w:rFonts w:asciiTheme="minorHAnsi" w:hAnsiTheme="minorHAnsi"/>
          <w:b/>
          <w:bCs/>
          <w:sz w:val="22"/>
          <w:szCs w:val="22"/>
        </w:rPr>
      </w:pPr>
    </w:p>
    <w:p w:rsidR="004D1219" w:rsidRPr="004D1219" w:rsidRDefault="004D1219" w:rsidP="004D1219">
      <w:pPr>
        <w:pStyle w:val="Default"/>
        <w:rPr>
          <w:rFonts w:asciiTheme="minorHAnsi" w:hAnsiTheme="minorHAnsi"/>
          <w:sz w:val="22"/>
          <w:szCs w:val="22"/>
        </w:rPr>
      </w:pPr>
      <w:r w:rsidRPr="004D1219">
        <w:rPr>
          <w:rFonts w:asciiTheme="minorHAnsi" w:hAnsiTheme="minorHAnsi"/>
          <w:b/>
          <w:bCs/>
          <w:sz w:val="22"/>
          <w:szCs w:val="22"/>
        </w:rPr>
        <w:t xml:space="preserve">DOCUMENT </w:t>
      </w:r>
      <w:r>
        <w:rPr>
          <w:rFonts w:asciiTheme="minorHAnsi" w:hAnsiTheme="minorHAnsi"/>
          <w:b/>
          <w:bCs/>
          <w:sz w:val="22"/>
          <w:szCs w:val="22"/>
        </w:rPr>
        <w:t>4</w:t>
      </w:r>
    </w:p>
    <w:p w:rsidR="004D1219" w:rsidRPr="004D1219" w:rsidRDefault="004D1219" w:rsidP="004D1219">
      <w:pPr>
        <w:pStyle w:val="Default"/>
        <w:jc w:val="center"/>
        <w:rPr>
          <w:rFonts w:asciiTheme="minorHAnsi" w:hAnsiTheme="minorHAnsi"/>
          <w:b/>
          <w:w w:val="109"/>
          <w:sz w:val="22"/>
          <w:szCs w:val="22"/>
        </w:rPr>
      </w:pPr>
    </w:p>
    <w:p w:rsidR="004D1219" w:rsidRPr="004D1219" w:rsidRDefault="004D1219" w:rsidP="004D1219">
      <w:pPr>
        <w:pStyle w:val="Default"/>
        <w:jc w:val="center"/>
        <w:rPr>
          <w:rFonts w:asciiTheme="minorHAnsi" w:hAnsiTheme="minorHAnsi"/>
          <w:b/>
          <w:sz w:val="22"/>
          <w:szCs w:val="22"/>
        </w:rPr>
      </w:pPr>
      <w:r w:rsidRPr="004D1219">
        <w:rPr>
          <w:rFonts w:asciiTheme="minorHAnsi" w:hAnsiTheme="minorHAnsi"/>
          <w:b/>
          <w:sz w:val="22"/>
          <w:szCs w:val="22"/>
        </w:rPr>
        <w:t>Émission de CO2</w:t>
      </w:r>
      <w:r w:rsidRPr="004D1219">
        <w:rPr>
          <w:rFonts w:asciiTheme="minorHAnsi" w:hAnsiTheme="minorHAnsi"/>
          <w:b/>
          <w:sz w:val="22"/>
          <w:szCs w:val="22"/>
          <w:vertAlign w:val="superscript"/>
        </w:rPr>
        <w:t>(1)</w:t>
      </w:r>
      <w:r w:rsidRPr="004D1219">
        <w:rPr>
          <w:rFonts w:asciiTheme="minorHAnsi" w:hAnsiTheme="minorHAnsi"/>
          <w:b/>
          <w:sz w:val="22"/>
          <w:szCs w:val="22"/>
        </w:rPr>
        <w:t xml:space="preserve"> en grammes pour produire 1 kilowatt heure (kWh) d'électricité dans l'Union européenne (UE)</w:t>
      </w:r>
    </w:p>
    <w:tbl>
      <w:tblPr>
        <w:tblW w:w="9072" w:type="dxa"/>
        <w:jc w:val="center"/>
        <w:tblInd w:w="40" w:type="dxa"/>
        <w:tblLayout w:type="fixed"/>
        <w:tblCellMar>
          <w:left w:w="40" w:type="dxa"/>
          <w:right w:w="40" w:type="dxa"/>
        </w:tblCellMar>
        <w:tblLook w:val="0000"/>
      </w:tblPr>
      <w:tblGrid>
        <w:gridCol w:w="1843"/>
        <w:gridCol w:w="921"/>
        <w:gridCol w:w="922"/>
        <w:gridCol w:w="921"/>
        <w:gridCol w:w="922"/>
        <w:gridCol w:w="1771"/>
        <w:gridCol w:w="1772"/>
      </w:tblGrid>
      <w:tr w:rsidR="004D1219" w:rsidRPr="004D1219" w:rsidTr="00E61BAF">
        <w:trPr>
          <w:trHeight w:hRule="exact" w:val="567"/>
          <w:jc w:val="center"/>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sz w:val="22"/>
                <w:szCs w:val="22"/>
              </w:rPr>
            </w:pP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1990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2000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2008</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2009</w:t>
            </w:r>
          </w:p>
        </w:tc>
        <w:tc>
          <w:tcPr>
            <w:tcW w:w="1771"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Évolution en % 2008/2009</w:t>
            </w:r>
          </w:p>
        </w:tc>
        <w:tc>
          <w:tcPr>
            <w:tcW w:w="1772" w:type="dxa"/>
            <w:tcBorders>
              <w:top w:val="single" w:sz="6" w:space="0" w:color="auto"/>
              <w:left w:val="single" w:sz="6" w:space="0" w:color="auto"/>
              <w:bottom w:val="single" w:sz="6" w:space="0" w:color="auto"/>
              <w:right w:val="single" w:sz="6" w:space="0" w:color="auto"/>
            </w:tcBorders>
            <w:shd w:val="clear" w:color="auto" w:fill="FFFFFF"/>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Évolution en % 1990/2009</w:t>
            </w:r>
          </w:p>
        </w:tc>
      </w:tr>
      <w:tr w:rsidR="004D1219" w:rsidRPr="004D1219" w:rsidTr="00E61BAF">
        <w:trPr>
          <w:trHeight w:hRule="exact" w:val="284"/>
          <w:jc w:val="center"/>
        </w:trPr>
        <w:tc>
          <w:tcPr>
            <w:tcW w:w="1843" w:type="dxa"/>
            <w:tcBorders>
              <w:top w:val="single" w:sz="6" w:space="0" w:color="auto"/>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proofErr w:type="spellStart"/>
            <w:r w:rsidRPr="004D1219">
              <w:rPr>
                <w:rFonts w:asciiTheme="minorHAnsi" w:hAnsiTheme="minorHAnsi"/>
                <w:b/>
                <w:sz w:val="22"/>
                <w:szCs w:val="22"/>
              </w:rPr>
              <w:t>UEà</w:t>
            </w:r>
            <w:proofErr w:type="spellEnd"/>
            <w:r w:rsidRPr="004D1219">
              <w:rPr>
                <w:rFonts w:asciiTheme="minorHAnsi" w:hAnsiTheme="minorHAnsi"/>
                <w:b/>
                <w:sz w:val="22"/>
                <w:szCs w:val="22"/>
              </w:rPr>
              <w:t xml:space="preserve"> 15</w:t>
            </w:r>
          </w:p>
        </w:tc>
        <w:tc>
          <w:tcPr>
            <w:tcW w:w="921"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430</w:t>
            </w:r>
          </w:p>
        </w:tc>
        <w:tc>
          <w:tcPr>
            <w:tcW w:w="922"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349</w:t>
            </w:r>
          </w:p>
        </w:tc>
        <w:tc>
          <w:tcPr>
            <w:tcW w:w="921"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323</w:t>
            </w:r>
          </w:p>
        </w:tc>
        <w:tc>
          <w:tcPr>
            <w:tcW w:w="922"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220EB8" w:rsidP="00E61BAF">
            <w:pPr>
              <w:pStyle w:val="Default"/>
              <w:jc w:val="center"/>
              <w:rPr>
                <w:rFonts w:asciiTheme="minorHAnsi" w:hAnsiTheme="minorHAnsi"/>
                <w:b/>
                <w:sz w:val="22"/>
                <w:szCs w:val="22"/>
              </w:rPr>
            </w:pPr>
            <w:r>
              <w:rPr>
                <w:rFonts w:asciiTheme="minorHAnsi" w:hAnsiTheme="minorHAnsi"/>
                <w:b/>
                <w:sz w:val="22"/>
                <w:szCs w:val="22"/>
              </w:rPr>
              <w:t>308</w:t>
            </w:r>
            <w:bookmarkStart w:id="0" w:name="_GoBack"/>
            <w:bookmarkEnd w:id="0"/>
          </w:p>
        </w:tc>
        <w:tc>
          <w:tcPr>
            <w:tcW w:w="1771"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-4,8</w:t>
            </w:r>
          </w:p>
        </w:tc>
        <w:tc>
          <w:tcPr>
            <w:tcW w:w="1772"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b/>
                <w:sz w:val="22"/>
                <w:szCs w:val="22"/>
              </w:rPr>
            </w:pPr>
            <w:r w:rsidRPr="004D1219">
              <w:rPr>
                <w:rFonts w:asciiTheme="minorHAnsi" w:hAnsiTheme="minorHAnsi"/>
                <w:b/>
                <w:sz w:val="22"/>
                <w:szCs w:val="22"/>
              </w:rPr>
              <w:t>-28,4</w:t>
            </w: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Dont:</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Allemagne</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553</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494</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441</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430</w:t>
            </w: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-2,4</w:t>
            </w: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-22,1</w:t>
            </w: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Autriche</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245</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180</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185</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163</w:t>
            </w: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-11,7</w:t>
            </w: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-33,3</w:t>
            </w: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Belgique</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344</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284</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249</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218</w:t>
            </w: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-12,5</w:t>
            </w: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-36,7</w:t>
            </w: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Espagne</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427</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430</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327</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299</w:t>
            </w: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-8,5</w:t>
            </w: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-30,1</w:t>
            </w: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Finlande</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227</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211</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187</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205</w:t>
            </w: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+9,8</w:t>
            </w: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-9,6</w:t>
            </w: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France</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109</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84</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87</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90</w:t>
            </w: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+3,6</w:t>
            </w: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-17,7</w:t>
            </w: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Italie</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575</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498</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421</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386</w:t>
            </w: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-8,3</w:t>
            </w: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-32,7</w:t>
            </w: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Pays-Bas</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588</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400</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392</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374</w:t>
            </w: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-4,5</w:t>
            </w: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-36,4</w:t>
            </w:r>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Royaume-Uni</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672</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461</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490</w:t>
            </w: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450</w:t>
            </w: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-8,3</w:t>
            </w: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-33,1</w:t>
            </w:r>
          </w:p>
        </w:tc>
      </w:tr>
      <w:tr w:rsidR="004D1219" w:rsidRPr="004D1219" w:rsidTr="00E61BAF">
        <w:trPr>
          <w:trHeight w:hRule="exact" w:val="284"/>
          <w:jc w:val="center"/>
        </w:trPr>
        <w:tc>
          <w:tcPr>
            <w:tcW w:w="1843" w:type="dxa"/>
            <w:tcBorders>
              <w:top w:val="nil"/>
              <w:left w:val="single" w:sz="6" w:space="0" w:color="auto"/>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Suède</w:t>
            </w:r>
          </w:p>
        </w:tc>
        <w:tc>
          <w:tcPr>
            <w:tcW w:w="921"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48</w:t>
            </w:r>
          </w:p>
        </w:tc>
        <w:tc>
          <w:tcPr>
            <w:tcW w:w="922"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42</w:t>
            </w:r>
          </w:p>
        </w:tc>
        <w:tc>
          <w:tcPr>
            <w:tcW w:w="921"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40</w:t>
            </w:r>
          </w:p>
        </w:tc>
        <w:tc>
          <w:tcPr>
            <w:tcW w:w="922"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43</w:t>
            </w:r>
          </w:p>
        </w:tc>
        <w:tc>
          <w:tcPr>
            <w:tcW w:w="1771"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+7,7</w:t>
            </w:r>
          </w:p>
        </w:tc>
        <w:tc>
          <w:tcPr>
            <w:tcW w:w="1772"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-10,6</w:t>
            </w:r>
          </w:p>
        </w:tc>
      </w:tr>
      <w:tr w:rsidR="004D1219" w:rsidRPr="004D1219" w:rsidTr="00E61BAF">
        <w:trPr>
          <w:trHeight w:hRule="exact" w:val="284"/>
          <w:jc w:val="center"/>
        </w:trPr>
        <w:tc>
          <w:tcPr>
            <w:tcW w:w="1843" w:type="dxa"/>
            <w:tcBorders>
              <w:top w:val="single" w:sz="6" w:space="0" w:color="auto"/>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sz w:val="22"/>
                <w:szCs w:val="22"/>
              </w:rPr>
            </w:pPr>
            <w:r w:rsidRPr="004D1219">
              <w:rPr>
                <w:rFonts w:asciiTheme="minorHAnsi" w:hAnsiTheme="minorHAnsi"/>
                <w:sz w:val="22"/>
                <w:szCs w:val="22"/>
              </w:rPr>
              <w:t>12 nouveaux Etats</w:t>
            </w:r>
          </w:p>
        </w:tc>
        <w:tc>
          <w:tcPr>
            <w:tcW w:w="921"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roofErr w:type="spellStart"/>
            <w:r w:rsidRPr="004D1219">
              <w:rPr>
                <w:rFonts w:asciiTheme="minorHAnsi" w:hAnsiTheme="minorHAnsi"/>
                <w:sz w:val="22"/>
                <w:szCs w:val="22"/>
              </w:rPr>
              <w:t>Nd</w:t>
            </w:r>
            <w:proofErr w:type="spellEnd"/>
            <w:r w:rsidRPr="004D1219">
              <w:rPr>
                <w:rFonts w:asciiTheme="minorHAnsi" w:hAnsiTheme="minorHAnsi"/>
                <w:sz w:val="22"/>
                <w:szCs w:val="22"/>
                <w:vertAlign w:val="superscript"/>
              </w:rPr>
              <w:t>(2)</w:t>
            </w:r>
          </w:p>
        </w:tc>
        <w:tc>
          <w:tcPr>
            <w:tcW w:w="922"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517</w:t>
            </w:r>
          </w:p>
        </w:tc>
        <w:tc>
          <w:tcPr>
            <w:tcW w:w="921"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506</w:t>
            </w:r>
          </w:p>
        </w:tc>
        <w:tc>
          <w:tcPr>
            <w:tcW w:w="922"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487</w:t>
            </w:r>
          </w:p>
        </w:tc>
        <w:tc>
          <w:tcPr>
            <w:tcW w:w="1771"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-3,7</w:t>
            </w:r>
          </w:p>
        </w:tc>
        <w:tc>
          <w:tcPr>
            <w:tcW w:w="1772" w:type="dxa"/>
            <w:tcBorders>
              <w:top w:val="single" w:sz="6" w:space="0" w:color="auto"/>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roofErr w:type="spellStart"/>
            <w:r w:rsidRPr="004D1219">
              <w:rPr>
                <w:rFonts w:asciiTheme="minorHAnsi" w:hAnsiTheme="minorHAnsi"/>
                <w:sz w:val="22"/>
                <w:szCs w:val="22"/>
              </w:rPr>
              <w:t>nd</w:t>
            </w:r>
            <w:proofErr w:type="spellEnd"/>
          </w:p>
        </w:tc>
      </w:tr>
      <w:tr w:rsidR="004D1219" w:rsidRPr="004D1219" w:rsidTr="00E61BAF">
        <w:trPr>
          <w:trHeight w:hRule="exact" w:val="284"/>
          <w:jc w:val="center"/>
        </w:trPr>
        <w:tc>
          <w:tcPr>
            <w:tcW w:w="1843" w:type="dxa"/>
            <w:tcBorders>
              <w:top w:val="nil"/>
              <w:left w:val="single" w:sz="6" w:space="0" w:color="auto"/>
              <w:bottom w:val="nil"/>
              <w:right w:val="single" w:sz="6" w:space="0" w:color="auto"/>
            </w:tcBorders>
            <w:shd w:val="clear" w:color="auto" w:fill="FFFFFF"/>
          </w:tcPr>
          <w:p w:rsidR="004D1219" w:rsidRPr="004D1219" w:rsidRDefault="004D1219" w:rsidP="00E61BAF">
            <w:pPr>
              <w:pStyle w:val="Default"/>
              <w:rPr>
                <w:rFonts w:asciiTheme="minorHAnsi" w:hAnsiTheme="minorHAnsi"/>
                <w:sz w:val="22"/>
                <w:szCs w:val="22"/>
              </w:rPr>
            </w:pPr>
            <w:r w:rsidRPr="004D1219">
              <w:rPr>
                <w:rFonts w:asciiTheme="minorHAnsi" w:hAnsiTheme="minorHAnsi"/>
                <w:sz w:val="22"/>
                <w:szCs w:val="22"/>
              </w:rPr>
              <w:t>dont:</w:t>
            </w: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92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92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1771"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c>
          <w:tcPr>
            <w:tcW w:w="1772" w:type="dxa"/>
            <w:tcBorders>
              <w:top w:val="nil"/>
              <w:left w:val="single" w:sz="6" w:space="0" w:color="auto"/>
              <w:bottom w:val="nil"/>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p>
        </w:tc>
      </w:tr>
      <w:tr w:rsidR="004D1219" w:rsidRPr="004D1219" w:rsidTr="00E61BAF">
        <w:trPr>
          <w:trHeight w:hRule="exact" w:val="284"/>
          <w:jc w:val="center"/>
        </w:trPr>
        <w:tc>
          <w:tcPr>
            <w:tcW w:w="1843" w:type="dxa"/>
            <w:tcBorders>
              <w:top w:val="nil"/>
              <w:left w:val="single" w:sz="6" w:space="0" w:color="auto"/>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Pologne</w:t>
            </w:r>
          </w:p>
        </w:tc>
        <w:tc>
          <w:tcPr>
            <w:tcW w:w="921"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641</w:t>
            </w:r>
          </w:p>
        </w:tc>
        <w:tc>
          <w:tcPr>
            <w:tcW w:w="922"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671</w:t>
            </w:r>
          </w:p>
        </w:tc>
        <w:tc>
          <w:tcPr>
            <w:tcW w:w="921"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656</w:t>
            </w:r>
          </w:p>
        </w:tc>
        <w:tc>
          <w:tcPr>
            <w:tcW w:w="922"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640</w:t>
            </w:r>
          </w:p>
        </w:tc>
        <w:tc>
          <w:tcPr>
            <w:tcW w:w="1771"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-2,3</w:t>
            </w:r>
          </w:p>
        </w:tc>
        <w:tc>
          <w:tcPr>
            <w:tcW w:w="1772" w:type="dxa"/>
            <w:tcBorders>
              <w:top w:val="nil"/>
              <w:left w:val="single" w:sz="6"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-0,1</w:t>
            </w:r>
          </w:p>
        </w:tc>
      </w:tr>
      <w:tr w:rsidR="004D1219" w:rsidRPr="004D1219" w:rsidTr="00E61BAF">
        <w:trPr>
          <w:trHeight w:hRule="exact" w:val="284"/>
          <w:jc w:val="center"/>
        </w:trPr>
        <w:tc>
          <w:tcPr>
            <w:tcW w:w="1843" w:type="dxa"/>
            <w:tcBorders>
              <w:top w:val="nil"/>
              <w:left w:val="single" w:sz="6" w:space="0" w:color="auto"/>
              <w:bottom w:val="single" w:sz="4" w:space="0" w:color="auto"/>
              <w:right w:val="single" w:sz="6" w:space="0" w:color="auto"/>
            </w:tcBorders>
            <w:shd w:val="clear" w:color="auto" w:fill="FFFFFF"/>
          </w:tcPr>
          <w:p w:rsidR="004D1219" w:rsidRPr="004D1219" w:rsidRDefault="004D1219" w:rsidP="00E61BAF">
            <w:pPr>
              <w:pStyle w:val="Default"/>
              <w:rPr>
                <w:rFonts w:asciiTheme="minorHAnsi" w:hAnsiTheme="minorHAnsi"/>
                <w:b/>
                <w:sz w:val="22"/>
                <w:szCs w:val="22"/>
              </w:rPr>
            </w:pPr>
            <w:r w:rsidRPr="004D1219">
              <w:rPr>
                <w:rFonts w:asciiTheme="minorHAnsi" w:hAnsiTheme="minorHAnsi"/>
                <w:b/>
                <w:sz w:val="22"/>
                <w:szCs w:val="22"/>
              </w:rPr>
              <w:t>République tchèque</w:t>
            </w:r>
          </w:p>
        </w:tc>
        <w:tc>
          <w:tcPr>
            <w:tcW w:w="921" w:type="dxa"/>
            <w:tcBorders>
              <w:top w:val="nil"/>
              <w:left w:val="single" w:sz="6" w:space="0" w:color="auto"/>
              <w:bottom w:val="single" w:sz="4"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596</w:t>
            </w:r>
          </w:p>
        </w:tc>
        <w:tc>
          <w:tcPr>
            <w:tcW w:w="922" w:type="dxa"/>
            <w:tcBorders>
              <w:top w:val="nil"/>
              <w:left w:val="single" w:sz="6" w:space="0" w:color="auto"/>
              <w:bottom w:val="single" w:sz="4"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595</w:t>
            </w:r>
          </w:p>
        </w:tc>
        <w:tc>
          <w:tcPr>
            <w:tcW w:w="921" w:type="dxa"/>
            <w:tcBorders>
              <w:top w:val="nil"/>
              <w:left w:val="single" w:sz="6" w:space="0" w:color="auto"/>
              <w:bottom w:val="single" w:sz="4"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537</w:t>
            </w:r>
          </w:p>
        </w:tc>
        <w:tc>
          <w:tcPr>
            <w:tcW w:w="922" w:type="dxa"/>
            <w:tcBorders>
              <w:top w:val="nil"/>
              <w:left w:val="single" w:sz="6" w:space="0" w:color="auto"/>
              <w:bottom w:val="single" w:sz="4"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514</w:t>
            </w:r>
          </w:p>
        </w:tc>
        <w:tc>
          <w:tcPr>
            <w:tcW w:w="1771" w:type="dxa"/>
            <w:tcBorders>
              <w:top w:val="nil"/>
              <w:left w:val="single" w:sz="6" w:space="0" w:color="auto"/>
              <w:bottom w:val="single" w:sz="4"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-4,3</w:t>
            </w:r>
          </w:p>
        </w:tc>
        <w:tc>
          <w:tcPr>
            <w:tcW w:w="1772" w:type="dxa"/>
            <w:tcBorders>
              <w:top w:val="nil"/>
              <w:left w:val="single" w:sz="6" w:space="0" w:color="auto"/>
              <w:bottom w:val="single" w:sz="4" w:space="0" w:color="auto"/>
              <w:right w:val="single" w:sz="6" w:space="0" w:color="auto"/>
            </w:tcBorders>
            <w:shd w:val="clear" w:color="auto" w:fill="FFFFFF"/>
            <w:vAlign w:val="center"/>
          </w:tcPr>
          <w:p w:rsidR="004D1219" w:rsidRPr="004D1219" w:rsidRDefault="004D1219" w:rsidP="00E61BAF">
            <w:pPr>
              <w:pStyle w:val="Default"/>
              <w:jc w:val="center"/>
              <w:rPr>
                <w:rFonts w:asciiTheme="minorHAnsi" w:hAnsiTheme="minorHAnsi"/>
                <w:sz w:val="22"/>
                <w:szCs w:val="22"/>
              </w:rPr>
            </w:pPr>
            <w:r w:rsidRPr="004D1219">
              <w:rPr>
                <w:rFonts w:asciiTheme="minorHAnsi" w:hAnsiTheme="minorHAnsi"/>
                <w:sz w:val="22"/>
                <w:szCs w:val="22"/>
              </w:rPr>
              <w:t>-13,7</w:t>
            </w:r>
          </w:p>
        </w:tc>
      </w:tr>
    </w:tbl>
    <w:p w:rsidR="004D1219" w:rsidRPr="004D1219" w:rsidRDefault="004D1219" w:rsidP="004D1219">
      <w:pPr>
        <w:pStyle w:val="Default"/>
        <w:jc w:val="right"/>
        <w:rPr>
          <w:rFonts w:asciiTheme="minorHAnsi" w:hAnsiTheme="minorHAnsi"/>
          <w:sz w:val="22"/>
          <w:szCs w:val="22"/>
        </w:rPr>
      </w:pPr>
      <w:r w:rsidRPr="004D1219">
        <w:rPr>
          <w:rFonts w:asciiTheme="minorHAnsi" w:hAnsiTheme="minorHAnsi"/>
          <w:sz w:val="22"/>
          <w:szCs w:val="22"/>
        </w:rPr>
        <w:t>Source : Agence internationale de l’énergie, 2011.</w:t>
      </w:r>
    </w:p>
    <w:p w:rsidR="004D1219" w:rsidRPr="004D1219" w:rsidRDefault="004D1219" w:rsidP="004D1219">
      <w:pPr>
        <w:pStyle w:val="Default"/>
        <w:rPr>
          <w:rFonts w:asciiTheme="minorHAnsi" w:hAnsiTheme="minorHAnsi"/>
          <w:sz w:val="22"/>
          <w:szCs w:val="22"/>
        </w:rPr>
      </w:pPr>
    </w:p>
    <w:p w:rsidR="004D1219" w:rsidRPr="004D1219" w:rsidRDefault="004D1219" w:rsidP="004D1219">
      <w:pPr>
        <w:pStyle w:val="Default"/>
        <w:numPr>
          <w:ilvl w:val="0"/>
          <w:numId w:val="2"/>
        </w:numPr>
        <w:rPr>
          <w:rFonts w:asciiTheme="minorHAnsi" w:hAnsiTheme="minorHAnsi"/>
          <w:sz w:val="22"/>
          <w:szCs w:val="22"/>
        </w:rPr>
      </w:pPr>
      <w:r w:rsidRPr="004D1219">
        <w:rPr>
          <w:rFonts w:asciiTheme="minorHAnsi" w:hAnsiTheme="minorHAnsi"/>
          <w:sz w:val="22"/>
          <w:szCs w:val="22"/>
        </w:rPr>
        <w:t>CO</w:t>
      </w:r>
      <w:r w:rsidRPr="004D1219">
        <w:rPr>
          <w:rFonts w:asciiTheme="minorHAnsi" w:hAnsiTheme="minorHAnsi"/>
          <w:sz w:val="22"/>
          <w:szCs w:val="22"/>
          <w:vertAlign w:val="subscript"/>
        </w:rPr>
        <w:t>2</w:t>
      </w:r>
      <w:r w:rsidRPr="004D1219">
        <w:rPr>
          <w:rFonts w:asciiTheme="minorHAnsi" w:hAnsiTheme="minorHAnsi"/>
          <w:sz w:val="22"/>
          <w:szCs w:val="22"/>
        </w:rPr>
        <w:t xml:space="preserve"> l le </w:t>
      </w:r>
      <w:proofErr w:type="spellStart"/>
      <w:r w:rsidRPr="004D1219">
        <w:rPr>
          <w:rFonts w:asciiTheme="minorHAnsi" w:hAnsiTheme="minorHAnsi"/>
          <w:sz w:val="22"/>
          <w:szCs w:val="22"/>
        </w:rPr>
        <w:t>dioxide</w:t>
      </w:r>
      <w:proofErr w:type="spellEnd"/>
      <w:r w:rsidRPr="004D1219">
        <w:rPr>
          <w:rFonts w:asciiTheme="minorHAnsi" w:hAnsiTheme="minorHAnsi"/>
          <w:sz w:val="22"/>
          <w:szCs w:val="22"/>
        </w:rPr>
        <w:t xml:space="preserve"> de carbone est un gaz à « effet de serre ».</w:t>
      </w:r>
    </w:p>
    <w:p w:rsidR="00F21BA7" w:rsidRPr="004D1219" w:rsidRDefault="004D1219" w:rsidP="004D1219">
      <w:pPr>
        <w:pStyle w:val="Default"/>
        <w:numPr>
          <w:ilvl w:val="0"/>
          <w:numId w:val="2"/>
        </w:numPr>
        <w:rPr>
          <w:rFonts w:asciiTheme="minorHAnsi" w:hAnsiTheme="minorHAnsi"/>
          <w:sz w:val="22"/>
          <w:szCs w:val="22"/>
        </w:rPr>
      </w:pPr>
      <w:proofErr w:type="spellStart"/>
      <w:r w:rsidRPr="004D1219">
        <w:rPr>
          <w:rFonts w:asciiTheme="minorHAnsi" w:hAnsiTheme="minorHAnsi"/>
          <w:sz w:val="22"/>
          <w:szCs w:val="22"/>
        </w:rPr>
        <w:t>Nd</w:t>
      </w:r>
      <w:proofErr w:type="spellEnd"/>
      <w:r w:rsidRPr="004D1219">
        <w:rPr>
          <w:rFonts w:asciiTheme="minorHAnsi" w:hAnsiTheme="minorHAnsi"/>
          <w:sz w:val="22"/>
          <w:szCs w:val="22"/>
        </w:rPr>
        <w:t> : données non disponibles.</w:t>
      </w:r>
    </w:p>
    <w:sectPr w:rsidR="00F21BA7" w:rsidRPr="004D1219" w:rsidSect="008661B6">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78E" w:rsidRDefault="00D7778E" w:rsidP="009A7EA5">
      <w:pPr>
        <w:spacing w:after="0" w:line="240" w:lineRule="auto"/>
      </w:pPr>
      <w:r>
        <w:separator/>
      </w:r>
    </w:p>
  </w:endnote>
  <w:endnote w:type="continuationSeparator" w:id="1">
    <w:p w:rsidR="00D7778E" w:rsidRDefault="00D7778E" w:rsidP="009A7E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EA5" w:rsidRDefault="009A7EA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78E" w:rsidRDefault="00D7778E" w:rsidP="009A7EA5">
      <w:pPr>
        <w:spacing w:after="0" w:line="240" w:lineRule="auto"/>
      </w:pPr>
      <w:r>
        <w:separator/>
      </w:r>
    </w:p>
  </w:footnote>
  <w:footnote w:type="continuationSeparator" w:id="1">
    <w:p w:rsidR="00D7778E" w:rsidRDefault="00D7778E" w:rsidP="009A7E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129AC"/>
    <w:multiLevelType w:val="hybridMultilevel"/>
    <w:tmpl w:val="AD0A06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E993480"/>
    <w:multiLevelType w:val="hybridMultilevel"/>
    <w:tmpl w:val="9968D7FC"/>
    <w:lvl w:ilvl="0" w:tplc="C57221EA">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0"/>
    <w:footnote w:id="1"/>
  </w:footnotePr>
  <w:endnotePr>
    <w:endnote w:id="0"/>
    <w:endnote w:id="1"/>
  </w:endnotePr>
  <w:compat/>
  <w:rsids>
    <w:rsidRoot w:val="00D71133"/>
    <w:rsid w:val="0001791A"/>
    <w:rsid w:val="0003377C"/>
    <w:rsid w:val="00083A87"/>
    <w:rsid w:val="000C5EA4"/>
    <w:rsid w:val="000C626E"/>
    <w:rsid w:val="00220EB8"/>
    <w:rsid w:val="00250E02"/>
    <w:rsid w:val="00253CCA"/>
    <w:rsid w:val="002922E2"/>
    <w:rsid w:val="00343E65"/>
    <w:rsid w:val="0036780A"/>
    <w:rsid w:val="003F1BDA"/>
    <w:rsid w:val="00415426"/>
    <w:rsid w:val="004567A3"/>
    <w:rsid w:val="004D1219"/>
    <w:rsid w:val="00557765"/>
    <w:rsid w:val="00595D63"/>
    <w:rsid w:val="00596441"/>
    <w:rsid w:val="00677B82"/>
    <w:rsid w:val="00697291"/>
    <w:rsid w:val="006A1121"/>
    <w:rsid w:val="007F23F2"/>
    <w:rsid w:val="008661B6"/>
    <w:rsid w:val="00896DA3"/>
    <w:rsid w:val="008A170D"/>
    <w:rsid w:val="0098500F"/>
    <w:rsid w:val="0099455B"/>
    <w:rsid w:val="009A7EA5"/>
    <w:rsid w:val="00A00E1D"/>
    <w:rsid w:val="00A05B67"/>
    <w:rsid w:val="00A74861"/>
    <w:rsid w:val="00A95FB3"/>
    <w:rsid w:val="00B64DF9"/>
    <w:rsid w:val="00BC2CCD"/>
    <w:rsid w:val="00C92F86"/>
    <w:rsid w:val="00D1093E"/>
    <w:rsid w:val="00D24D95"/>
    <w:rsid w:val="00D71133"/>
    <w:rsid w:val="00D7778E"/>
    <w:rsid w:val="00DA6002"/>
    <w:rsid w:val="00DB36F5"/>
    <w:rsid w:val="00E44088"/>
    <w:rsid w:val="00E52897"/>
    <w:rsid w:val="00F17742"/>
    <w:rsid w:val="00F21BA7"/>
    <w:rsid w:val="00F50A55"/>
    <w:rsid w:val="00F6613A"/>
    <w:rsid w:val="00FC2AA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13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43E6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3E65"/>
    <w:rPr>
      <w:rFonts w:ascii="Tahoma" w:hAnsi="Tahoma" w:cs="Tahoma"/>
      <w:sz w:val="16"/>
      <w:szCs w:val="16"/>
    </w:rPr>
  </w:style>
  <w:style w:type="paragraph" w:styleId="En-tte">
    <w:name w:val="header"/>
    <w:basedOn w:val="Normal"/>
    <w:link w:val="En-tteCar"/>
    <w:uiPriority w:val="99"/>
    <w:unhideWhenUsed/>
    <w:rsid w:val="009A7EA5"/>
    <w:pPr>
      <w:tabs>
        <w:tab w:val="center" w:pos="4536"/>
        <w:tab w:val="right" w:pos="9072"/>
      </w:tabs>
      <w:spacing w:after="0" w:line="240" w:lineRule="auto"/>
    </w:pPr>
  </w:style>
  <w:style w:type="character" w:customStyle="1" w:styleId="En-tteCar">
    <w:name w:val="En-tête Car"/>
    <w:basedOn w:val="Policepardfaut"/>
    <w:link w:val="En-tte"/>
    <w:uiPriority w:val="99"/>
    <w:rsid w:val="009A7EA5"/>
  </w:style>
  <w:style w:type="paragraph" w:styleId="Pieddepage">
    <w:name w:val="footer"/>
    <w:basedOn w:val="Normal"/>
    <w:link w:val="PieddepageCar"/>
    <w:uiPriority w:val="99"/>
    <w:unhideWhenUsed/>
    <w:rsid w:val="009A7E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A7EA5"/>
  </w:style>
  <w:style w:type="paragraph" w:styleId="Paragraphedeliste">
    <w:name w:val="List Paragraph"/>
    <w:basedOn w:val="Normal"/>
    <w:uiPriority w:val="34"/>
    <w:qFormat/>
    <w:rsid w:val="00595D63"/>
    <w:pPr>
      <w:ind w:left="720"/>
      <w:contextualSpacing/>
    </w:pPr>
  </w:style>
  <w:style w:type="paragraph" w:styleId="NormalWeb">
    <w:name w:val="Normal (Web)"/>
    <w:basedOn w:val="Normal"/>
    <w:uiPriority w:val="99"/>
    <w:semiHidden/>
    <w:unhideWhenUsed/>
    <w:rsid w:val="00595D6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DB36F5"/>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fr-FR"/>
    </w:rPr>
  </w:style>
  <w:style w:type="paragraph" w:customStyle="1" w:styleId="CM9">
    <w:name w:val="CM9"/>
    <w:basedOn w:val="Default"/>
    <w:next w:val="Default"/>
    <w:uiPriority w:val="99"/>
    <w:rsid w:val="00DB36F5"/>
    <w:pPr>
      <w:spacing w:after="813"/>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13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43E6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3E65"/>
    <w:rPr>
      <w:rFonts w:ascii="Tahoma" w:hAnsi="Tahoma" w:cs="Tahoma"/>
      <w:sz w:val="16"/>
      <w:szCs w:val="16"/>
    </w:rPr>
  </w:style>
  <w:style w:type="paragraph" w:styleId="En-tte">
    <w:name w:val="header"/>
    <w:basedOn w:val="Normal"/>
    <w:link w:val="En-tteCar"/>
    <w:uiPriority w:val="99"/>
    <w:unhideWhenUsed/>
    <w:rsid w:val="009A7EA5"/>
    <w:pPr>
      <w:tabs>
        <w:tab w:val="center" w:pos="4536"/>
        <w:tab w:val="right" w:pos="9072"/>
      </w:tabs>
      <w:spacing w:after="0" w:line="240" w:lineRule="auto"/>
    </w:pPr>
  </w:style>
  <w:style w:type="character" w:customStyle="1" w:styleId="En-tteCar">
    <w:name w:val="En-tête Car"/>
    <w:basedOn w:val="Policepardfaut"/>
    <w:link w:val="En-tte"/>
    <w:uiPriority w:val="99"/>
    <w:rsid w:val="009A7EA5"/>
  </w:style>
  <w:style w:type="paragraph" w:styleId="Pieddepage">
    <w:name w:val="footer"/>
    <w:basedOn w:val="Normal"/>
    <w:link w:val="PieddepageCar"/>
    <w:uiPriority w:val="99"/>
    <w:unhideWhenUsed/>
    <w:rsid w:val="009A7E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A7EA5"/>
  </w:style>
  <w:style w:type="paragraph" w:styleId="Paragraphedeliste">
    <w:name w:val="List Paragraph"/>
    <w:basedOn w:val="Normal"/>
    <w:uiPriority w:val="34"/>
    <w:qFormat/>
    <w:rsid w:val="00595D63"/>
    <w:pPr>
      <w:ind w:left="720"/>
      <w:contextualSpacing/>
    </w:pPr>
  </w:style>
  <w:style w:type="paragraph" w:styleId="NormalWeb">
    <w:name w:val="Normal (Web)"/>
    <w:basedOn w:val="Normal"/>
    <w:uiPriority w:val="99"/>
    <w:semiHidden/>
    <w:unhideWhenUsed/>
    <w:rsid w:val="00595D6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DB36F5"/>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fr-FR"/>
    </w:rPr>
  </w:style>
  <w:style w:type="paragraph" w:customStyle="1" w:styleId="CM9">
    <w:name w:val="CM9"/>
    <w:basedOn w:val="Default"/>
    <w:next w:val="Default"/>
    <w:uiPriority w:val="99"/>
    <w:rsid w:val="00DB36F5"/>
    <w:pPr>
      <w:spacing w:after="813"/>
    </w:pPr>
    <w:rPr>
      <w:color w:val="auto"/>
    </w:rPr>
  </w:style>
</w:styles>
</file>

<file path=word/webSettings.xml><?xml version="1.0" encoding="utf-8"?>
<w:webSettings xmlns:r="http://schemas.openxmlformats.org/officeDocument/2006/relationships" xmlns:w="http://schemas.openxmlformats.org/wordprocessingml/2006/main">
  <w:divs>
    <w:div w:id="205835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29873-9798-42B5-A81C-2E8E18FDE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3575</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4216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dc:creator>
  <cp:lastModifiedBy>PELLEGRINI</cp:lastModifiedBy>
  <cp:revision>4</cp:revision>
  <cp:lastPrinted>2013-03-27T13:42:00Z</cp:lastPrinted>
  <dcterms:created xsi:type="dcterms:W3CDTF">2015-01-22T13:28:00Z</dcterms:created>
  <dcterms:modified xsi:type="dcterms:W3CDTF">2015-12-10T10:30:00Z</dcterms:modified>
</cp:coreProperties>
</file>